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Клиническая фармакология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03:17 МСК · База обновлена: 22.08.2026, 16:54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Клиническая фармакология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Врач клинический фармаколог вызван на консультацию к пациентке 34 года, вес 52 кг. С 05.04.2019г. получает лечение по поводу активного туберкулеза легких: режим химеотерапии III, интенсивная фаза (изониазид, рифампицин, пиразинамид, этамбутол).</w:t>
      </w:r>
    </w:p>
    <w:p>
      <w:pPr>
        <w:spacing w:after="58"/>
      </w:pPr>
      <w:r>
        <w:rPr>
          <w:b w:val="0"/>
          <w:i w:val="0"/>
        </w:rPr>
        <w:t>Одновременно получает препараты – Тиамина хлорид, Пиридоксина гидрохлорид. Через месяц проводимой терапии (04.05.2019 г.) пожаловалась на боли в коленных суставах.</w:t>
      </w:r>
    </w:p>
    <w:p>
      <w:pPr>
        <w:spacing w:after="58"/>
      </w:pPr>
      <w:r>
        <w:rPr>
          <w:b w:val="0"/>
          <w:i w:val="0"/>
        </w:rPr>
        <w:t>В б/х анализе крови мочевая кислота 430 мкМоль/л (норма для женщин 150-360 мкМоль/л).</w:t>
      </w:r>
    </w:p>
    <w:p>
      <w:pPr>
        <w:spacing w:after="58"/>
      </w:pPr>
      <w:r>
        <w:rPr>
          <w:b w:val="0"/>
          <w:i w:val="0"/>
        </w:rPr>
        <w:t>Реакция купирована введением р-ра диклофенака 3 мл в/м. В инструкции по применению препарата пиразинамид указана возможность появления артралгий и гиперурикемии.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Боли в коленных суставах.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Заболела три месяца назад. Появились жалобы на сухой кашель, слабость, ознобы, потливость, особенно по ночам, температуру не измеряла, употребляла большое количество спиртных напитков. Родственниками направлена в ПНД. В ПНД проведено рентгенологическое обследование органов грудной клетки, выявлены изменения на рентгенограмме, направлена в противотуберкулёзный диспансер №12 с диагнозом диссеминированный туберкулёз лёгких.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Родилась в г. Москва 1-м ребенком в семье. На момент рождения ребёнка родители здоровы. Жилищные условия на момент рождения ребёнка – удовлетворительные, питание удовлетворительное. В развитии не отставала от сверстников. В школу пошла с 8 лет, росла и развивалась по возрасту.</w:t>
      </w:r>
    </w:p>
    <w:p>
      <w:pPr>
        <w:spacing w:after="58"/>
      </w:pPr>
      <w:r>
        <w:rPr>
          <w:b w:val="0"/>
          <w:i w:val="0"/>
        </w:rPr>
        <w:t>Жилищные условия хорошие, проживает одна в двухкомнатной квартире. Питание нерегулярное 2-3-х разовое.</w:t>
      </w:r>
    </w:p>
    <w:p>
      <w:pPr>
        <w:spacing w:after="58"/>
      </w:pPr>
      <w:r>
        <w:rPr>
          <w:b w:val="0"/>
          <w:i w:val="0"/>
        </w:rPr>
        <w:t>Аллергия-отрицает. Вредные привычки: курит с 22-х лет по пачке сигарет в день.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Рост 177 см, вес 67 кг.</w:t>
      </w:r>
    </w:p>
    <w:p>
      <w:pPr>
        <w:spacing w:after="58"/>
      </w:pPr>
      <w:r>
        <w:rPr>
          <w:b w:val="0"/>
          <w:i w:val="0"/>
        </w:rPr>
        <w:t>Состояние средней степени тяжести, сознание ясное. Кожа, слизистые бледно-розовой окраски, кожа повышенной влажности. Периферические лимфатическое узлы не увеличены. Дыхание везикулярное, хрипов нет, ЧДД=20/мин. Тоны сердца ясные, ритмичные, шумов нет. ЧСС 70/мин. АД 110/80 мм рт ст. Живот болезненный в эпигастральной области, доступен глубокой пальпации, симптомы раздражения брюшины отрицательные. Печень по краю рёберной дуги. Периферических отёков нет. Физиологические отправления без особенностей.</w:t>
      </w:r>
    </w:p>
    <w:p>
      <w:pPr>
        <w:pStyle w:val="Heading2"/>
      </w:pPr>
      <w:r>
        <w:t>1. Вариатив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Интенсивная фаза лечения туберкулеза направлена 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подавление сохраняющейся микобактериальной популяции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уменьшение воспалительных изменений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ликвидацию клинических проявлений заболевания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восстановление функциональных возможностей организма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ликвидацию клинических проявлений заболевания</w:t>
      </w:r>
    </w:p>
    <w:p>
      <w:pPr>
        <w:spacing w:after="58"/>
      </w:pPr>
      <w:r>
        <w:rPr>
          <w:b w:val="0"/>
          <w:i w:val="0"/>
        </w:rPr>
        <w:t>Фаза интенсивной терапии - направлена на ликвидацию клинических проявлений заболевания, максимальное воздействие на популяцию МБТ с целью прекращения бактериовыделения и предотвращения развития лекарственной устойчивости, уменьшение инфильтративных и деструктивных изменений в органах; может быть составляющей частью подготовки к хирургической операции.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Туберкулез у взрослых, 2025 г.</w:t>
        </w:r>
      </w:hyperlink>
    </w:p>
    <w:p>
      <w:pPr>
        <w:spacing w:after="58"/>
      </w:pPr>
      <w:hyperlink r:id="rId2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Фаза продолжения лечения туберкулеза направлена 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прекращение бактериовыделения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уменьшение инфильтративных и деструктивных изменений в органах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подавление сохраняющейся микобактериальной популяции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ликвидацию клинических проявлений заболевания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подавление сохраняющейся микобактериальной популяции</w:t>
      </w:r>
    </w:p>
    <w:p>
      <w:pPr>
        <w:spacing w:after="58"/>
      </w:pPr>
      <w:r>
        <w:rPr>
          <w:b w:val="0"/>
          <w:i w:val="0"/>
        </w:rPr>
        <w:t>Фаза продолжения лечения - направлена на подавление сохраняющейся микобактериальной популяции, обеспечивает дальнейшее уменьшение воспалительных изменений и инволюцию туберкулезного процесса, а также восстановление функциональных возможностей организма.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Туберкулез у взрослых, 2025 г.</w:t>
        </w:r>
      </w:hyperlink>
    </w:p>
    <w:p>
      <w:pPr>
        <w:spacing w:after="58"/>
      </w:pPr>
      <w:hyperlink r:id="rId2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Пациентам с впервые выявленным туберкулезом при отсутствии бактериовыделения и с сохранением чувствительности МБТ к изониазиду и рифампицину, рекомендовано назначение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изониазида, этамбутола и бедаквилина и левофлоксацина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изониазида, этамбутола и деламанида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изониазида, рифампицина, пиразинамида и этамбутола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изониазида, этамбутола и бедаквилина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изониазида, рифампицина, пиразинамида и этамбутола</w:t>
      </w:r>
    </w:p>
    <w:p>
      <w:pPr>
        <w:spacing w:after="58"/>
      </w:pPr>
      <w:r>
        <w:rPr>
          <w:b w:val="0"/>
          <w:i w:val="0"/>
        </w:rPr>
        <w:t>Рекомендуется назначение изониазида, рифампицина, пиразинамида и этамбутола для пациентов с лекарственно-чувствительным туберкулезом с подтвержденной или предполагаемой лекарственной чувствительностью (ЛЧ) _Mycobacterium tuberculosis complex_ к рифампицину и изониазиду молекулярно-биологическими методами исследования или микробиологическими (культуральными) методами исследования для полного подавления микробной популяции длительностью не менее 6 месяцев.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Туберкулез у взрослых, 2025 г.</w:t>
        </w:r>
      </w:hyperlink>
    </w:p>
    <w:p>
      <w:pPr>
        <w:spacing w:after="58"/>
      </w:pPr>
      <w:hyperlink r:id="rId2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 xml:space="preserve">Рекомендуемая длительность химиотерапии составляет не менее 6 месяцев, при этом интенсивная фаза составляет </w:t>
      </w:r>
      <w:r>
        <w:rPr>
          <w:b w:val="0"/>
          <w:i w:val="0"/>
        </w:rPr>
        <w:t>_____</w:t>
      </w:r>
      <w:r>
        <w:rPr>
          <w:b w:val="0"/>
          <w:i w:val="0"/>
        </w:rPr>
        <w:t xml:space="preserve"> (в месяцах)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4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3 - 2</w:t>
      </w:r>
    </w:p>
    <w:p>
      <w:pPr>
        <w:spacing w:after="58"/>
      </w:pPr>
      <w:r>
        <w:rPr>
          <w:b w:val="0"/>
          <w:i w:val="0"/>
        </w:rPr>
        <w:t>Рекомендуется назначение изониазида, рифампицина, пиразинамида и этамбутола для пациентов с лекарственно-чувствительным туберкулезом с подтвержденной или предполагаемой лекарственной чувствительностью (ЛЧ) _Mycobacterium tuberculosis complex_ к рифампицину и изониазиду молекулярно-биологическими методами исследования или микробиологическими (культуральными) методами исследования для полного подавления микробной популяции длительностью не менее 6 месяцев. В интенсивную фазу химиотерапии пациент с впервые выявленным туберкулезом должен принять не менее 60 суточных доз (2 месяца) комбинации из 4 основных препаратов.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Туберкулез у взрослых, 2025 г.</w:t>
        </w:r>
      </w:hyperlink>
    </w:p>
    <w:p>
      <w:pPr>
        <w:spacing w:after="58"/>
      </w:pPr>
      <w:hyperlink r:id="rId24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Пиридоксин пациентам, получающим изониазид, назначают с целью профилактики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гепатотоксичности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офтальмопатии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судорог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нейропатии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судорог</w:t>
      </w:r>
    </w:p>
    <w:p>
      <w:pPr>
        <w:spacing w:after="58"/>
      </w:pPr>
      <w:r>
        <w:rPr>
          <w:b w:val="0"/>
          <w:i w:val="0"/>
        </w:rPr>
        <w:t>С целью профилактики судорог при приеме таких препаратов как Циклосерин, изониазид, левофлоксацин, моксифлоксацин, спарфлоксацин, необходимо назначить симптоматическую терапию- Пиридоксин в максимальной суточной дозе (200 мг в день).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Туберкулез у взрослых, 2025 г.</w:t>
        </w:r>
      </w:hyperlink>
    </w:p>
    <w:p>
      <w:pPr>
        <w:spacing w:after="58"/>
      </w:pPr>
      <w:hyperlink r:id="rId2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 xml:space="preserve">Максимальная суточная доза пиридоксина составляет </w:t>
      </w:r>
      <w:r>
        <w:rPr>
          <w:b w:val="0"/>
          <w:i w:val="0"/>
        </w:rPr>
        <w:t>______</w:t>
      </w:r>
      <w:r>
        <w:rPr>
          <w:b w:val="0"/>
          <w:i w:val="0"/>
        </w:rPr>
        <w:t xml:space="preserve"> мг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100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50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3 - 200</w:t>
      </w:r>
    </w:p>
    <w:p>
      <w:pPr>
        <w:spacing w:after="58"/>
      </w:pPr>
      <w:r>
        <w:rPr>
          <w:b w:val="0"/>
          <w:i w:val="0"/>
        </w:rPr>
        <w:t>С целью профилактики судорог при приеме таких препаратов как Циклосерин, изониазид, левофлоксацин, моксифлоксацин, спарфлоксацин, необходимо назначить Пиридоксин в максимальной суточной дозе (200 мг в день).</w:t>
      </w:r>
    </w:p>
    <w:p>
      <w:pPr>
        <w:spacing w:after="58"/>
      </w:pPr>
      <w:r>
        <w:rPr>
          <w:b w:val="0"/>
          <w:i w:val="0"/>
        </w:rPr>
        <w:t>Государственный реестр лекарственных средств</w:t>
      </w:r>
    </w:p>
    <w:p>
      <w:pPr>
        <w:spacing w:after="58"/>
      </w:pPr>
      <w:hyperlink r:id="rId26">
        <w:r>
          <w:rPr>
            <w:color w:val="173C49"/>
            <w:u w:val="single"/>
          </w:rPr>
          <w:t xml:space="preserve">https://grls.rosminzdrav.ru/Grls_View_v2.aspx?routingGuid=77ec7feb-c116-41b0-8461-89a925264b28</w:t>
        </w:r>
      </w:hyperlink>
    </w:p>
    <w:p>
      <w:pPr>
        <w:pStyle w:val="Heading2"/>
      </w:pPr>
      <w:r>
        <w:t>2. Консультирование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Согласно ВОЗ, Тип В (непредсказуемые реакции) - это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реакции, возникающие при длительном приеме ЛС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отсроченные НЛР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реакции, возникающие у небольшого числа больных, не зависящие от дозы препарата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результат фармакологического действия ЛС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реакции, возникающие у небольшого числа больных, не зависящие от дозы препарата</w:t>
      </w:r>
    </w:p>
    <w:p>
      <w:pPr>
        <w:spacing w:after="58"/>
      </w:pPr>
      <w:r>
        <w:rPr>
          <w:b w:val="0"/>
          <w:i w:val="0"/>
        </w:rPr>
        <w:t>Тип В (непредсказуемые реакции) - реакции, возникающие у небольшого числа больных, не зависящие от дозы препарата, более редкие, чем реакции типа А, непредсказуемы, часто относятся к числу серьезных и сложны для изучения (трудно воспроизводимы в условиях эксперимента).</w:t>
      </w:r>
    </w:p>
    <w:p>
      <w:pPr>
        <w:spacing w:after="58"/>
      </w:pPr>
      <w:r>
        <w:rPr>
          <w:b w:val="0"/>
          <w:i w:val="0"/>
        </w:rPr>
        <w:t>Клиническая фармакология для педиатров : учебное пособие / А. С. Колбин. - Москва : ГЭОТАР-Медиа, 2021. - 288 с. - ISBN 978-5-9704-5920-1</w:t>
      </w:r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Согласно ВОЗ, Тип С («химические» реакции) - это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развитие лекарственной устойчивости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отсроченные НЛР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результат фармакологического действия ЛС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реакции, возникающие при длительном приеме ЛС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реакции, возникающие при длительном приеме ЛС</w:t>
      </w:r>
    </w:p>
    <w:p>
      <w:pPr>
        <w:spacing w:after="58"/>
      </w:pPr>
      <w:r>
        <w:rPr>
          <w:b w:val="0"/>
          <w:i w:val="0"/>
        </w:rPr>
        <w:t>Тип С («химические» реакции) - реакции, возникающие при длительном приеме ЛС. Часто они проявляются развитием толерантности, лекарственной зависимости, синдромом отмены. Особым видом НЛР типа С считают лекарственную зависимость.</w:t>
      </w:r>
    </w:p>
    <w:p>
      <w:pPr>
        <w:spacing w:after="58"/>
      </w:pPr>
      <w:r>
        <w:rPr>
          <w:b w:val="0"/>
          <w:i w:val="0"/>
        </w:rPr>
        <w:t>Клиническая фармакология для педиатров : учебное пособие / А. С. Колбин. - Москва : ГЭОТАР-Медиа, 2021. - 288 с. - ISBN 978-5-9704-5920-1</w:t>
      </w:r>
    </w:p>
    <w:p>
      <w:pPr>
        <w:spacing w:after="58"/>
      </w:pPr>
      <w:hyperlink r:id="rId29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Согласно ВОЗ, Тип D - это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результат фармакологического действия ЛС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реакции, возникающие при длительном приеме ЛС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развитие лекарственной устойчивости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отсроченные НЛР, возникающие через несколько месяцев и даже лет после отмены ЛС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отсроченные НЛР, возникающие через несколько месяцев и даже лет после отмены ЛС</w:t>
      </w:r>
    </w:p>
    <w:p>
      <w:pPr>
        <w:spacing w:after="58"/>
      </w:pPr>
      <w:r>
        <w:rPr>
          <w:b w:val="0"/>
          <w:i w:val="0"/>
        </w:rPr>
        <w:t>Тип D - это отсроченные НЛР, возникающие через несколько месяцев и даже лет после отмены ЛС. В их основе лежит мутагенность, канцерогенность, нарушения репродуктивной функции, тера-тогенность, обусловленные предшествующим приемом ЛС.</w:t>
      </w:r>
    </w:p>
    <w:p>
      <w:pPr>
        <w:spacing w:after="58"/>
      </w:pPr>
      <w:r>
        <w:rPr>
          <w:b w:val="0"/>
          <w:i w:val="0"/>
        </w:rPr>
        <w:t>Клиническая фармакология для педиатров : учебное пособие / А. С. Колбин. - Москва : ГЭОТАР-Медиа, 2021. - 288 с. - ISBN 978-5-9704-5920-1</w:t>
      </w:r>
    </w:p>
    <w:p>
      <w:pPr>
        <w:spacing w:after="58"/>
      </w:pPr>
      <w:hyperlink r:id="rId3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Согласно ВОЗ, Тип A - это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отсроченные НЛР, возникающие через несколько месяцев и даже лет после отмены ЛС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результат фармакологического действия ЛС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реакции иммуноаллергической природы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реакции, возникающие при длительном приеме ЛС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результат фармакологического действия ЛС</w:t>
      </w:r>
    </w:p>
    <w:p>
      <w:pPr>
        <w:spacing w:after="58"/>
      </w:pPr>
      <w:r>
        <w:rPr>
          <w:b w:val="0"/>
          <w:i w:val="0"/>
        </w:rPr>
        <w:t>Тип А (предсказуемые реакции) - результат фармакологического действия ЛС. Реакции типа А возникают часто, зависят от дозы (частота и тяжесть увеличиваются при повышении дозы). Этих реакций часто можно избежать путем подбора индивидуальной дозы для каждого больного.</w:t>
      </w:r>
    </w:p>
    <w:p>
      <w:pPr>
        <w:spacing w:after="58"/>
      </w:pPr>
      <w:r>
        <w:rPr>
          <w:b w:val="0"/>
          <w:i w:val="0"/>
        </w:rPr>
        <w:t>Клиническая фармакология для педиатров : учебное пособие / А. С. Колбин. - Москва : ГЭОТАР-Медиа, 2021. - 288 с. - ISBN 978-5-9704-5920-1</w:t>
      </w:r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Действия врача при обнаружении нежелательной лекарственной реакции типа А заключаются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продолжении проводимой терапии и уведомлении надзорных органов о развившейся реакции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назначении корригирующей 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замене препарата на близкий по химической структуре аналог и терапии развившейся реакции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отмене препарата (или снижении его дозы, если реакция несерьезная, а препарат заменить сложно)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отмене препарата (или снижении его дозы, если реакция несерьезная, а препарат заменить сложно)</w:t>
      </w:r>
    </w:p>
    <w:p>
      <w:pPr>
        <w:spacing w:after="58"/>
      </w:pPr>
      <w:r>
        <w:rPr>
          <w:b w:val="0"/>
          <w:i w:val="0"/>
        </w:rPr>
        <w:t>При развитии НЛР типа А, отмена ЛС требуется не всегда, часто достаточно снизить дозу для полного купирования или значительного ослабления НЛР.</w:t>
      </w:r>
    </w:p>
    <w:p>
      <w:pPr>
        <w:spacing w:after="58"/>
      </w:pPr>
      <w:r>
        <w:rPr>
          <w:b w:val="0"/>
          <w:i w:val="0"/>
        </w:rPr>
        <w:t>Клиническая фармакология для педиатров : учебное пособие / А. С. Колбин. - Москва : ГЭОТАР-Медиа, 2021. - 288 с. - ISBN 978-5-9704-5920-1</w:t>
      </w:r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Документ, направляемый в центр фармаконадзора о развитии нежелательной реакции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протокол врачебной комиссии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рапорт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протокол комиссии инфекционного контроля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извещение о НЛР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извещение о НЛР</w:t>
      </w:r>
    </w:p>
    <w:p>
      <w:pPr>
        <w:spacing w:after="58"/>
      </w:pPr>
      <w:r>
        <w:rPr>
          <w:b w:val="0"/>
          <w:i w:val="0"/>
        </w:rPr>
        <w:t>Мониторинг НЛР - сфера деятельности государственной системы фармаконадзора, которая существует практически во всех государствах, включая РФ. Сообщения о НЛР должны быть оформлены в виде специально разработанного извещения, которое направляют в соответствующий Региональный центр мониторинга безопасности ЛС или напрямую в Федеральный центр мониторинга безопасности ЛС Научного центра экспертизы средств медицинского применения (см. на компакт-диске в приложении).</w:t>
      </w:r>
    </w:p>
    <w:p>
      <w:pPr>
        <w:spacing w:after="58"/>
      </w:pPr>
      <w:r>
        <w:rPr>
          <w:b w:val="0"/>
          <w:i w:val="0"/>
        </w:rPr>
        <w:t>Клиническая фармакология : учебник / В. Г. Кукес, Д. А. Сычев [и др. ]; под ред. В. Г. Кукеса, Д. А. Сычева. - 6-е изд. , испр. и доп. - Москва : ГЭОТАР-Медиа, 2021. - 1024 с. : ил. - 1024 с. - ISBN 978-5-9704-5881</w:t>
      </w:r>
    </w:p>
    <w:p>
      <w:pPr>
        <w:spacing w:after="58"/>
      </w:pPr>
      <w:hyperlink r:id="rId33">
        <w:r>
          <w:rPr>
            <w:color w:val="173C49"/>
            <w:u w:val="single"/>
          </w:rPr>
          <w:t xml:space="preserve"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Клиническая фармакология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KP16_4_25/" TargetMode="External"/><Relationship Id="rId21" Type="http://schemas.openxmlformats.org/officeDocument/2006/relationships/hyperlink" Target="https://library.mededtech.ru/rest/documents/KP16_4_25/#list_item_c6gpqs" TargetMode="External"/><Relationship Id="rId22" Type="http://schemas.openxmlformats.org/officeDocument/2006/relationships/hyperlink" Target="https://library.mededtech.ru/rest/documents/KP16_4_25/#list_item_fr8r7r" TargetMode="External"/><Relationship Id="rId23" Type="http://schemas.openxmlformats.org/officeDocument/2006/relationships/hyperlink" Target="https://library.mededtech.ru/rest/documents/KP16_4_25/#list_item_pu2ir0" TargetMode="External"/><Relationship Id="rId24" Type="http://schemas.openxmlformats.org/officeDocument/2006/relationships/hyperlink" Target="https://library.mededtech.ru/rest/documents/KP16_4_25/#paragraph_6f7uqt" TargetMode="External"/><Relationship Id="rId25" Type="http://schemas.openxmlformats.org/officeDocument/2006/relationships/hyperlink" Target="https://library.mededtech.ru/rest/documents/KP16_4_25/#appA3.6" TargetMode="External"/><Relationship Id="rId26" Type="http://schemas.openxmlformats.org/officeDocument/2006/relationships/hyperlink" Target="https://grls.rosminzdrav.ru/Grls_View_v2.aspx?routingGuid=77ec7feb-c116-41b0-8461-89a925264b28" TargetMode="External"/><Relationship Id="rId27" Type="http://schemas.openxmlformats.org/officeDocument/2006/relationships/hyperlink" Target="https://library.mededtech.ru/rest/documents/ISBN9785970459201/?anchor=paragraph_35l1o3#paragraph_35l1o3" TargetMode="External"/><Relationship Id="rId28" Type="http://schemas.openxmlformats.org/officeDocument/2006/relationships/image" Target="media/image5.png"/><Relationship Id="rId29" Type="http://schemas.openxmlformats.org/officeDocument/2006/relationships/hyperlink" Target="https://library.mededtech.ru/rest/documents/ISBN9785970459201/?anchor=paragraph_1dpnla#paragraph_1dpnla" TargetMode="External"/><Relationship Id="rId30" Type="http://schemas.openxmlformats.org/officeDocument/2006/relationships/hyperlink" Target="https://library.mededtech.ru/rest/documents/ISBN9785970459201/?anchor=paragraph_kbijm5#paragraph_kbijm5" TargetMode="External"/><Relationship Id="rId31" Type="http://schemas.openxmlformats.org/officeDocument/2006/relationships/image" Target="media/image6.png"/><Relationship Id="rId32" Type="http://schemas.openxmlformats.org/officeDocument/2006/relationships/hyperlink" Target="https://library.mededtech.ru/rest/documents/ISBN9785970459201/?anchor=paragraph_r79akt#paragraph_r79akt" TargetMode="External"/><Relationship Id="rId33" Type="http://schemas.openxmlformats.org/officeDocument/2006/relationships/hyperlink" Target="https://library.mededtech.ru/rest/documents/ISBN9785970458815/?anchor=paragraph_fde8o0#paragraph_fde8o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